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02B5B">
        <w:rPr>
          <w:rFonts w:ascii="Times New Roman" w:hAnsi="Times New Roman" w:cs="Times New Roman"/>
          <w:b/>
          <w:sz w:val="36"/>
          <w:szCs w:val="36"/>
          <w:u w:val="single"/>
        </w:rPr>
        <w:t>27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A02B5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A02B5B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A02B5B">
        <w:rPr>
          <w:rFonts w:ascii="Arial" w:eastAsia="Calibri" w:hAnsi="Arial" w:cs="Arial"/>
          <w:sz w:val="21"/>
          <w:szCs w:val="21"/>
          <w:lang w:val="es-ES_tradnl" w:eastAsia="es-UY"/>
        </w:rPr>
        <w:t>Reforma del sector de internado masculino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A02B5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TÉCNICA DE ARTIGAS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02B5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/10/79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02B5B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FDC20-53EF-42B6-8E22-E76FBE5A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2017-08-31T13:50:00Z</dcterms:modified>
</cp:coreProperties>
</file>